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A24462" w14:textId="77777777" w:rsidR="00DC2B06" w:rsidRPr="00613B34" w:rsidRDefault="00DC2B06" w:rsidP="00DA1B46">
      <w:pPr>
        <w:jc w:val="center"/>
        <w:rPr>
          <w:b/>
        </w:rPr>
      </w:pPr>
    </w:p>
    <w:p w14:paraId="3F12F51B" w14:textId="6227EF7F" w:rsidR="00613B34" w:rsidRDefault="006B7835" w:rsidP="00613B34">
      <w:pPr>
        <w:shd w:val="clear" w:color="auto" w:fill="FFFFFF"/>
        <w:jc w:val="center"/>
        <w:rPr>
          <w:rFonts w:ascii="gobCL" w:hAnsi="gobCL" w:cs="Arial"/>
          <w:b/>
          <w:bCs/>
          <w:sz w:val="44"/>
          <w:szCs w:val="44"/>
        </w:rPr>
      </w:pPr>
      <w:bookmarkStart w:id="0" w:name="_GoBack"/>
      <w:bookmarkEnd w:id="0"/>
      <w:r>
        <w:rPr>
          <w:rFonts w:ascii="gobCL" w:hAnsi="gobCL" w:cs="Arial"/>
          <w:b/>
          <w:bCs/>
          <w:sz w:val="44"/>
          <w:szCs w:val="44"/>
        </w:rPr>
        <w:t xml:space="preserve">Se </w:t>
      </w:r>
      <w:r w:rsidR="00861F33">
        <w:rPr>
          <w:rFonts w:ascii="gobCL" w:hAnsi="gobCL" w:cs="Arial"/>
          <w:b/>
          <w:bCs/>
          <w:sz w:val="44"/>
          <w:szCs w:val="44"/>
        </w:rPr>
        <w:t xml:space="preserve">extiende el plazo de postulación a concurso de </w:t>
      </w:r>
      <w:r w:rsidR="00861F33" w:rsidRPr="00861F33">
        <w:rPr>
          <w:rFonts w:ascii="gobCL" w:hAnsi="gobCL" w:cs="Arial"/>
          <w:b/>
          <w:bCs/>
          <w:sz w:val="44"/>
          <w:szCs w:val="44"/>
        </w:rPr>
        <w:t xml:space="preserve">Núcleos Milenio en Ciencias Naturales y Exactas </w:t>
      </w:r>
    </w:p>
    <w:p w14:paraId="5551D15E" w14:textId="77777777" w:rsidR="006B7835" w:rsidRDefault="006B7835" w:rsidP="006B7835">
      <w:pPr>
        <w:shd w:val="clear" w:color="auto" w:fill="FFFFFF"/>
        <w:rPr>
          <w:rFonts w:ascii="gobCL" w:hAnsi="gobCL" w:cs="Arial"/>
          <w:b/>
          <w:bCs/>
          <w:i/>
          <w:iCs/>
        </w:rPr>
      </w:pPr>
    </w:p>
    <w:p w14:paraId="3ED9E4B5" w14:textId="5835C3D8" w:rsidR="006B7835" w:rsidRPr="00647FAF" w:rsidRDefault="006B7835" w:rsidP="006B7835">
      <w:pPr>
        <w:shd w:val="clear" w:color="auto" w:fill="FFFFFF"/>
        <w:rPr>
          <w:rFonts w:ascii="Arial" w:hAnsi="Arial" w:cs="Arial"/>
          <w:b/>
          <w:sz w:val="19"/>
          <w:szCs w:val="19"/>
          <w:lang w:val="es-ES_tradnl"/>
        </w:rPr>
      </w:pPr>
      <w:r w:rsidRPr="00613B34">
        <w:rPr>
          <w:rFonts w:ascii="gobCL" w:hAnsi="gobCL" w:cs="Arial"/>
          <w:b/>
          <w:bCs/>
          <w:i/>
          <w:iCs/>
        </w:rPr>
        <w:t xml:space="preserve">Santiago, </w:t>
      </w:r>
      <w:r w:rsidR="00CD3C9B">
        <w:rPr>
          <w:rFonts w:ascii="gobCL" w:hAnsi="gobCL" w:cs="Arial"/>
          <w:b/>
          <w:bCs/>
          <w:i/>
          <w:iCs/>
        </w:rPr>
        <w:t>21</w:t>
      </w:r>
      <w:r>
        <w:rPr>
          <w:rFonts w:ascii="gobCL" w:hAnsi="gobCL" w:cs="Arial"/>
          <w:b/>
          <w:bCs/>
          <w:i/>
          <w:iCs/>
        </w:rPr>
        <w:t xml:space="preserve"> </w:t>
      </w:r>
      <w:r w:rsidRPr="00613B34">
        <w:rPr>
          <w:rFonts w:ascii="gobCL" w:hAnsi="gobCL" w:cs="Arial"/>
          <w:b/>
          <w:bCs/>
          <w:i/>
          <w:iCs/>
        </w:rPr>
        <w:t xml:space="preserve">de </w:t>
      </w:r>
      <w:r>
        <w:rPr>
          <w:rFonts w:ascii="gobCL" w:hAnsi="gobCL" w:cs="Arial"/>
          <w:b/>
          <w:bCs/>
          <w:i/>
          <w:iCs/>
        </w:rPr>
        <w:t xml:space="preserve">noviembre </w:t>
      </w:r>
      <w:r w:rsidRPr="00613B34">
        <w:rPr>
          <w:rFonts w:ascii="gobCL" w:hAnsi="gobCL" w:cs="Arial"/>
          <w:b/>
          <w:bCs/>
          <w:i/>
          <w:iCs/>
        </w:rPr>
        <w:t>de 201</w:t>
      </w:r>
      <w:r>
        <w:rPr>
          <w:rFonts w:ascii="gobCL" w:hAnsi="gobCL" w:cs="Arial"/>
          <w:b/>
          <w:bCs/>
          <w:i/>
          <w:iCs/>
        </w:rPr>
        <w:t>9</w:t>
      </w:r>
      <w:r w:rsidRPr="00613B34">
        <w:rPr>
          <w:rFonts w:ascii="gobCL" w:hAnsi="gobCL" w:cs="Arial"/>
          <w:b/>
          <w:bCs/>
          <w:i/>
          <w:iCs/>
        </w:rPr>
        <w:t>.-</w:t>
      </w:r>
      <w:r w:rsidRPr="00613B34">
        <w:rPr>
          <w:rFonts w:ascii="Arial" w:hAnsi="Arial" w:cs="Arial"/>
          <w:b/>
          <w:bCs/>
        </w:rPr>
        <w:t> </w:t>
      </w:r>
      <w:r w:rsidRPr="00613B34">
        <w:rPr>
          <w:rFonts w:ascii="Arial" w:hAnsi="Arial" w:cs="Arial"/>
          <w:sz w:val="19"/>
          <w:szCs w:val="19"/>
          <w:lang w:val="es-ES_tradnl"/>
        </w:rPr>
        <w:t xml:space="preserve"> </w:t>
      </w:r>
      <w:r>
        <w:rPr>
          <w:rFonts w:ascii="Arial" w:hAnsi="Arial" w:cs="Arial"/>
          <w:sz w:val="19"/>
          <w:szCs w:val="19"/>
          <w:lang w:val="es-ES_tradnl"/>
        </w:rPr>
        <w:t>Debido a la contingencia nacional de las últimas semanas, l</w:t>
      </w:r>
      <w:r w:rsidRPr="00613B34">
        <w:rPr>
          <w:rFonts w:ascii="Arial" w:hAnsi="Arial" w:cs="Arial"/>
          <w:sz w:val="19"/>
          <w:szCs w:val="19"/>
          <w:lang w:val="es-ES_tradnl"/>
        </w:rPr>
        <w:t>a Iniciativa Científica Milenio, programa del Ministerio</w:t>
      </w:r>
      <w:r>
        <w:rPr>
          <w:rFonts w:ascii="Arial" w:hAnsi="Arial" w:cs="Arial"/>
          <w:sz w:val="19"/>
          <w:szCs w:val="19"/>
          <w:lang w:val="es-ES_tradnl"/>
        </w:rPr>
        <w:t xml:space="preserve"> de Economía, Fomento y Turismo, </w:t>
      </w:r>
      <w:r w:rsidR="007720D1">
        <w:rPr>
          <w:rFonts w:ascii="Arial" w:hAnsi="Arial" w:cs="Arial"/>
          <w:sz w:val="19"/>
          <w:szCs w:val="19"/>
          <w:lang w:val="es-ES_tradnl"/>
        </w:rPr>
        <w:t xml:space="preserve">extiende </w:t>
      </w:r>
      <w:r>
        <w:rPr>
          <w:rFonts w:ascii="Arial" w:hAnsi="Arial" w:cs="Arial"/>
          <w:sz w:val="19"/>
          <w:szCs w:val="19"/>
          <w:lang w:val="es-ES_tradnl"/>
        </w:rPr>
        <w:t xml:space="preserve">el plazo para postular al concurso de </w:t>
      </w:r>
      <w:r w:rsidRPr="00613B34">
        <w:rPr>
          <w:rFonts w:ascii="Arial" w:hAnsi="Arial" w:cs="Arial"/>
          <w:sz w:val="19"/>
          <w:szCs w:val="19"/>
          <w:lang w:val="es-ES_tradnl"/>
        </w:rPr>
        <w:t>Núcleos Milenio en Ciencias Naturales y Exact</w:t>
      </w:r>
      <w:r>
        <w:rPr>
          <w:rFonts w:ascii="Arial" w:hAnsi="Arial" w:cs="Arial"/>
          <w:sz w:val="19"/>
          <w:szCs w:val="19"/>
          <w:lang w:val="es-ES_tradnl"/>
        </w:rPr>
        <w:t>as. Consecuentemente</w:t>
      </w:r>
      <w:r w:rsidR="001D1342">
        <w:rPr>
          <w:rFonts w:ascii="Arial" w:hAnsi="Arial" w:cs="Arial"/>
          <w:sz w:val="19"/>
          <w:szCs w:val="19"/>
          <w:lang w:val="es-ES_tradnl"/>
        </w:rPr>
        <w:t>,</w:t>
      </w:r>
      <w:r>
        <w:rPr>
          <w:rFonts w:ascii="Arial" w:hAnsi="Arial" w:cs="Arial"/>
          <w:sz w:val="19"/>
          <w:szCs w:val="19"/>
          <w:lang w:val="es-ES_tradnl"/>
        </w:rPr>
        <w:t xml:space="preserve"> la nueva fecha de cierre de</w:t>
      </w:r>
      <w:r w:rsidR="001D1342">
        <w:rPr>
          <w:rFonts w:ascii="Arial" w:hAnsi="Arial" w:cs="Arial"/>
          <w:sz w:val="19"/>
          <w:szCs w:val="19"/>
          <w:lang w:val="es-ES_tradnl"/>
        </w:rPr>
        <w:t>l</w:t>
      </w:r>
      <w:r>
        <w:rPr>
          <w:rFonts w:ascii="Arial" w:hAnsi="Arial" w:cs="Arial"/>
          <w:sz w:val="19"/>
          <w:szCs w:val="19"/>
          <w:lang w:val="es-ES_tradnl"/>
        </w:rPr>
        <w:t xml:space="preserve"> concurso será el </w:t>
      </w:r>
      <w:r w:rsidRPr="00647FAF">
        <w:rPr>
          <w:rFonts w:ascii="Arial" w:hAnsi="Arial" w:cs="Arial"/>
          <w:b/>
          <w:sz w:val="19"/>
          <w:szCs w:val="19"/>
          <w:lang w:val="es-ES_tradnl"/>
        </w:rPr>
        <w:t>jueves 19 de diciembre</w:t>
      </w:r>
      <w:r>
        <w:rPr>
          <w:rFonts w:ascii="Arial" w:hAnsi="Arial" w:cs="Arial"/>
          <w:b/>
          <w:sz w:val="19"/>
          <w:szCs w:val="19"/>
          <w:lang w:val="es-ES_tradnl"/>
        </w:rPr>
        <w:t xml:space="preserve"> de 2019</w:t>
      </w:r>
      <w:r w:rsidRPr="00647FAF">
        <w:rPr>
          <w:rFonts w:ascii="Arial" w:hAnsi="Arial" w:cs="Arial"/>
          <w:b/>
          <w:sz w:val="19"/>
          <w:szCs w:val="19"/>
          <w:lang w:val="es-ES_tradnl"/>
        </w:rPr>
        <w:t xml:space="preserve">, a las </w:t>
      </w:r>
      <w:r w:rsidR="00E56854">
        <w:rPr>
          <w:rFonts w:ascii="Arial" w:hAnsi="Arial" w:cs="Arial"/>
          <w:b/>
          <w:sz w:val="19"/>
          <w:szCs w:val="19"/>
          <w:lang w:val="es-ES_tradnl"/>
        </w:rPr>
        <w:t>23</w:t>
      </w:r>
      <w:r w:rsidRPr="00647FAF">
        <w:rPr>
          <w:rFonts w:ascii="Arial" w:hAnsi="Arial" w:cs="Arial"/>
          <w:b/>
          <w:sz w:val="19"/>
          <w:szCs w:val="19"/>
          <w:lang w:val="es-ES_tradnl"/>
        </w:rPr>
        <w:t>.</w:t>
      </w:r>
      <w:r w:rsidR="00E56854">
        <w:rPr>
          <w:rFonts w:ascii="Arial" w:hAnsi="Arial" w:cs="Arial"/>
          <w:b/>
          <w:sz w:val="19"/>
          <w:szCs w:val="19"/>
          <w:lang w:val="es-ES_tradnl"/>
        </w:rPr>
        <w:t>59</w:t>
      </w:r>
      <w:r w:rsidRPr="00647FAF">
        <w:rPr>
          <w:rFonts w:ascii="Arial" w:hAnsi="Arial" w:cs="Arial"/>
          <w:b/>
          <w:sz w:val="19"/>
          <w:szCs w:val="19"/>
          <w:lang w:val="es-ES_tradnl"/>
        </w:rPr>
        <w:t xml:space="preserve"> horas.</w:t>
      </w:r>
    </w:p>
    <w:p w14:paraId="4827BA43" w14:textId="2FF30136" w:rsidR="006B7835" w:rsidRDefault="006B7835" w:rsidP="006B7835">
      <w:pPr>
        <w:shd w:val="clear" w:color="auto" w:fill="FFFFFF"/>
        <w:rPr>
          <w:rFonts w:ascii="Arial" w:hAnsi="Arial" w:cs="Arial"/>
          <w:sz w:val="19"/>
          <w:szCs w:val="19"/>
        </w:rPr>
      </w:pPr>
      <w:r>
        <w:rPr>
          <w:rFonts w:ascii="Arial" w:hAnsi="Arial" w:cs="Arial"/>
          <w:sz w:val="19"/>
          <w:szCs w:val="19"/>
        </w:rPr>
        <w:t>Nicole Ehrenfeld</w:t>
      </w:r>
      <w:r w:rsidRPr="00613B34">
        <w:rPr>
          <w:rFonts w:ascii="Arial" w:hAnsi="Arial" w:cs="Arial"/>
          <w:sz w:val="19"/>
          <w:szCs w:val="19"/>
        </w:rPr>
        <w:t xml:space="preserve">, Directora </w:t>
      </w:r>
      <w:r>
        <w:rPr>
          <w:rFonts w:ascii="Arial" w:hAnsi="Arial" w:cs="Arial"/>
          <w:sz w:val="19"/>
          <w:szCs w:val="19"/>
        </w:rPr>
        <w:t xml:space="preserve">Ejecutiva de Milenio, </w:t>
      </w:r>
      <w:r w:rsidRPr="00613B34">
        <w:rPr>
          <w:rFonts w:ascii="Arial" w:hAnsi="Arial" w:cs="Arial"/>
          <w:sz w:val="19"/>
          <w:szCs w:val="19"/>
        </w:rPr>
        <w:t>explica</w:t>
      </w:r>
      <w:r w:rsidR="00E65C5F">
        <w:rPr>
          <w:rFonts w:ascii="Arial" w:hAnsi="Arial" w:cs="Arial"/>
          <w:sz w:val="19"/>
          <w:szCs w:val="19"/>
        </w:rPr>
        <w:t xml:space="preserve"> que</w:t>
      </w:r>
      <w:r w:rsidRPr="00613B34">
        <w:rPr>
          <w:rFonts w:ascii="Arial" w:hAnsi="Arial" w:cs="Arial"/>
          <w:sz w:val="19"/>
          <w:szCs w:val="19"/>
        </w:rPr>
        <w:t xml:space="preserve"> </w:t>
      </w:r>
      <w:r>
        <w:rPr>
          <w:rFonts w:ascii="Arial" w:hAnsi="Arial" w:cs="Arial"/>
          <w:sz w:val="19"/>
          <w:szCs w:val="19"/>
        </w:rPr>
        <w:t>“</w:t>
      </w:r>
      <w:r w:rsidR="000A5840">
        <w:rPr>
          <w:rFonts w:ascii="Arial" w:hAnsi="Arial" w:cs="Arial"/>
          <w:sz w:val="19"/>
          <w:szCs w:val="19"/>
        </w:rPr>
        <w:t xml:space="preserve">extendemos </w:t>
      </w:r>
      <w:r w:rsidR="000A5840" w:rsidRPr="00613B34">
        <w:rPr>
          <w:rFonts w:ascii="Arial" w:hAnsi="Arial" w:cs="Arial"/>
          <w:sz w:val="19"/>
          <w:szCs w:val="19"/>
        </w:rPr>
        <w:t>el</w:t>
      </w:r>
      <w:r>
        <w:rPr>
          <w:rFonts w:ascii="Arial" w:hAnsi="Arial" w:cs="Arial"/>
          <w:sz w:val="19"/>
          <w:szCs w:val="19"/>
        </w:rPr>
        <w:t xml:space="preserve"> plazo</w:t>
      </w:r>
      <w:r w:rsidR="00E56854">
        <w:rPr>
          <w:rFonts w:ascii="Arial" w:hAnsi="Arial" w:cs="Arial"/>
          <w:sz w:val="19"/>
          <w:szCs w:val="19"/>
        </w:rPr>
        <w:t xml:space="preserve"> de cierre de concurso en 10 </w:t>
      </w:r>
      <w:r w:rsidR="000A5840">
        <w:rPr>
          <w:rFonts w:ascii="Arial" w:hAnsi="Arial" w:cs="Arial"/>
          <w:sz w:val="19"/>
          <w:szCs w:val="19"/>
        </w:rPr>
        <w:t>días</w:t>
      </w:r>
      <w:r w:rsidR="00E65C5F">
        <w:rPr>
          <w:rFonts w:ascii="Arial" w:hAnsi="Arial" w:cs="Arial"/>
          <w:sz w:val="19"/>
          <w:szCs w:val="19"/>
        </w:rPr>
        <w:t>,</w:t>
      </w:r>
      <w:r w:rsidR="000A5840">
        <w:rPr>
          <w:rFonts w:ascii="Arial" w:hAnsi="Arial" w:cs="Arial"/>
          <w:sz w:val="19"/>
          <w:szCs w:val="19"/>
        </w:rPr>
        <w:t xml:space="preserve"> ajustándonos</w:t>
      </w:r>
      <w:r w:rsidR="00E56854">
        <w:rPr>
          <w:rFonts w:ascii="Arial" w:hAnsi="Arial" w:cs="Arial"/>
          <w:sz w:val="19"/>
          <w:szCs w:val="19"/>
        </w:rPr>
        <w:t xml:space="preserve"> a lo </w:t>
      </w:r>
      <w:r>
        <w:rPr>
          <w:rFonts w:ascii="Arial" w:hAnsi="Arial" w:cs="Arial"/>
          <w:sz w:val="19"/>
          <w:szCs w:val="19"/>
        </w:rPr>
        <w:t>que permiten las bases vigentes. Para poder realizarl</w:t>
      </w:r>
      <w:r w:rsidR="00E56854">
        <w:rPr>
          <w:rFonts w:ascii="Arial" w:hAnsi="Arial" w:cs="Arial"/>
          <w:sz w:val="19"/>
          <w:szCs w:val="19"/>
        </w:rPr>
        <w:t>o,</w:t>
      </w:r>
      <w:r>
        <w:rPr>
          <w:rFonts w:ascii="Arial" w:hAnsi="Arial" w:cs="Arial"/>
          <w:sz w:val="19"/>
          <w:szCs w:val="19"/>
        </w:rPr>
        <w:t xml:space="preserve"> conversamos con todos los evaluadores internacionales, que son quienes califican estas propuestas. Afortunadamente comprendieron la situación y pudieron adaptar sus agendas a las nuevas fechas de evaluación”.</w:t>
      </w:r>
    </w:p>
    <w:p w14:paraId="37217342" w14:textId="77777777" w:rsidR="006B7835" w:rsidRDefault="006B7835" w:rsidP="006B7835">
      <w:pPr>
        <w:shd w:val="clear" w:color="auto" w:fill="FFFFFF"/>
        <w:rPr>
          <w:rFonts w:ascii="Arial" w:hAnsi="Arial" w:cs="Arial"/>
          <w:sz w:val="19"/>
          <w:szCs w:val="19"/>
        </w:rPr>
      </w:pPr>
      <w:r w:rsidRPr="00AD185A">
        <w:rPr>
          <w:rFonts w:ascii="Arial" w:hAnsi="Arial" w:cs="Arial"/>
          <w:sz w:val="19"/>
          <w:szCs w:val="19"/>
        </w:rPr>
        <w:t xml:space="preserve">Cabe recordar que la selección de los Núcleos Milenio está a cargo de un comité conformado por destacados científicos internacionales, quienes evalúan y </w:t>
      </w:r>
      <w:r>
        <w:rPr>
          <w:rFonts w:ascii="Arial" w:hAnsi="Arial" w:cs="Arial"/>
          <w:sz w:val="19"/>
          <w:szCs w:val="19"/>
        </w:rPr>
        <w:t xml:space="preserve">se reúnen a calificar en conjunto </w:t>
      </w:r>
      <w:r w:rsidRPr="00AD185A">
        <w:rPr>
          <w:rFonts w:ascii="Arial" w:hAnsi="Arial" w:cs="Arial"/>
          <w:sz w:val="19"/>
          <w:szCs w:val="19"/>
        </w:rPr>
        <w:t xml:space="preserve">las propuestas. Aquellas seleccionadas pasan a una etapa de entrevista, donde presentan el proyecto ante </w:t>
      </w:r>
      <w:r w:rsidR="008F2BD6">
        <w:rPr>
          <w:rFonts w:ascii="Arial" w:hAnsi="Arial" w:cs="Arial"/>
          <w:sz w:val="19"/>
          <w:szCs w:val="19"/>
        </w:rPr>
        <w:t xml:space="preserve">este </w:t>
      </w:r>
      <w:r w:rsidRPr="00AD185A">
        <w:rPr>
          <w:rFonts w:ascii="Arial" w:hAnsi="Arial" w:cs="Arial"/>
          <w:sz w:val="19"/>
          <w:szCs w:val="19"/>
        </w:rPr>
        <w:t xml:space="preserve">comité, </w:t>
      </w:r>
      <w:r w:rsidR="008F2BD6">
        <w:rPr>
          <w:rFonts w:ascii="Arial" w:hAnsi="Arial" w:cs="Arial"/>
          <w:sz w:val="19"/>
          <w:szCs w:val="19"/>
        </w:rPr>
        <w:t xml:space="preserve">que </w:t>
      </w:r>
      <w:r w:rsidRPr="00AD185A">
        <w:rPr>
          <w:rFonts w:ascii="Arial" w:hAnsi="Arial" w:cs="Arial"/>
          <w:sz w:val="19"/>
          <w:szCs w:val="19"/>
        </w:rPr>
        <w:t xml:space="preserve">elabora un ranking y </w:t>
      </w:r>
      <w:r w:rsidR="008F2BD6">
        <w:rPr>
          <w:rFonts w:ascii="Arial" w:hAnsi="Arial" w:cs="Arial"/>
          <w:sz w:val="19"/>
          <w:szCs w:val="19"/>
        </w:rPr>
        <w:t>entrega</w:t>
      </w:r>
      <w:r w:rsidRPr="00AD185A">
        <w:rPr>
          <w:rFonts w:ascii="Arial" w:hAnsi="Arial" w:cs="Arial"/>
          <w:sz w:val="19"/>
          <w:szCs w:val="19"/>
        </w:rPr>
        <w:t xml:space="preserve"> su selección al Consejo Directivo, quien las adjudica.</w:t>
      </w:r>
    </w:p>
    <w:p w14:paraId="194F796E" w14:textId="77777777" w:rsidR="006B7835" w:rsidRPr="00AD185A" w:rsidRDefault="006B7835" w:rsidP="006B7835">
      <w:pPr>
        <w:shd w:val="clear" w:color="auto" w:fill="FFFFFF"/>
        <w:rPr>
          <w:rFonts w:ascii="Arial" w:hAnsi="Arial" w:cs="Arial"/>
          <w:sz w:val="19"/>
          <w:szCs w:val="19"/>
        </w:rPr>
      </w:pPr>
      <w:r w:rsidRPr="00AD185A">
        <w:rPr>
          <w:rFonts w:ascii="Arial" w:hAnsi="Arial" w:cs="Arial"/>
          <w:sz w:val="19"/>
          <w:szCs w:val="19"/>
        </w:rPr>
        <w:t xml:space="preserve">Como resultado de este proceso se adjudicarán en el primer semestre de 2020 Núcleos Milenio en Ciencias Naturales y Exactas, – nuevos y/o renovados- los que tendrán una duración de tres años cada uno. </w:t>
      </w:r>
    </w:p>
    <w:p w14:paraId="18F22B42" w14:textId="77777777" w:rsidR="006B7835" w:rsidRPr="00AD185A" w:rsidRDefault="006B7835" w:rsidP="006B7835">
      <w:pPr>
        <w:shd w:val="clear" w:color="auto" w:fill="FFFFFF"/>
        <w:rPr>
          <w:rFonts w:ascii="Arial" w:hAnsi="Arial" w:cs="Arial"/>
          <w:sz w:val="19"/>
          <w:szCs w:val="19"/>
        </w:rPr>
      </w:pPr>
      <w:r w:rsidRPr="00AD185A">
        <w:rPr>
          <w:rFonts w:ascii="Arial" w:hAnsi="Arial" w:cs="Arial"/>
          <w:sz w:val="19"/>
          <w:szCs w:val="19"/>
        </w:rPr>
        <w:t>Este concurso se abre en un período de transición para la Iniciativa Científica Milenio, ya que está previsto</w:t>
      </w:r>
      <w:r w:rsidR="009F5C7D">
        <w:rPr>
          <w:rFonts w:ascii="Arial" w:hAnsi="Arial" w:cs="Arial"/>
          <w:sz w:val="19"/>
          <w:szCs w:val="19"/>
        </w:rPr>
        <w:t xml:space="preserve"> que</w:t>
      </w:r>
      <w:r w:rsidRPr="00AD185A">
        <w:rPr>
          <w:rFonts w:ascii="Arial" w:hAnsi="Arial" w:cs="Arial"/>
          <w:sz w:val="19"/>
          <w:szCs w:val="19"/>
        </w:rPr>
        <w:t xml:space="preserve"> el 1 de enero de 2020 migre del Ministerio de Economía a la Agencia Nacional de Investigación y desarrollo (ANID) del Ministerio de Ciencia Tecnología Conocimiento e Innovación. “En el marco de la transición de Milenio hacia la ANID hemos trabajado coordinadamente con ambos ministerios, tomando todos los resguardos necesarios para garantizar que el concurso se desarrolle de una manera estable y en los tiempos planificados”, señala la Directora de Milenio.</w:t>
      </w:r>
    </w:p>
    <w:p w14:paraId="1D724298" w14:textId="77777777" w:rsidR="006B7835" w:rsidRPr="0079086F" w:rsidRDefault="006B7835" w:rsidP="006B7835">
      <w:pPr>
        <w:shd w:val="clear" w:color="auto" w:fill="FFFFFF"/>
        <w:rPr>
          <w:rFonts w:ascii="Arial" w:hAnsi="Arial" w:cs="Arial"/>
          <w:b/>
          <w:sz w:val="19"/>
          <w:szCs w:val="19"/>
        </w:rPr>
      </w:pPr>
      <w:r w:rsidRPr="0079086F">
        <w:rPr>
          <w:rFonts w:ascii="Arial" w:hAnsi="Arial" w:cs="Arial"/>
          <w:b/>
          <w:sz w:val="19"/>
          <w:szCs w:val="19"/>
        </w:rPr>
        <w:t>Para garantizar la transparencia e igualdad en las postulaciones no se responderán consultas sobre este concurso por ningún otro medio que no sea a través del foro de preguntas de la plataforma de postulación: </w:t>
      </w:r>
      <w:hyperlink r:id="rId8" w:history="1">
        <w:r w:rsidRPr="0079086F">
          <w:rPr>
            <w:rFonts w:ascii="Arial" w:hAnsi="Arial" w:cs="Arial"/>
            <w:b/>
            <w:sz w:val="19"/>
            <w:szCs w:val="19"/>
          </w:rPr>
          <w:t>http://concursos.iniciativamilenio.cl/</w:t>
        </w:r>
      </w:hyperlink>
    </w:p>
    <w:p w14:paraId="43717CDD" w14:textId="77777777" w:rsidR="006B7835" w:rsidRPr="00613B34" w:rsidRDefault="006B7835" w:rsidP="00613B34">
      <w:pPr>
        <w:shd w:val="clear" w:color="auto" w:fill="FFFFFF"/>
        <w:jc w:val="center"/>
        <w:rPr>
          <w:rFonts w:ascii="Arial" w:hAnsi="Arial" w:cs="Arial"/>
          <w:sz w:val="19"/>
          <w:szCs w:val="19"/>
        </w:rPr>
      </w:pPr>
    </w:p>
    <w:sectPr w:rsidR="006B7835" w:rsidRPr="00613B34">
      <w:headerReference w:type="default" r:id="rId9"/>
      <w:pgSz w:w="12240" w:h="15840"/>
      <w:pgMar w:top="1417" w:right="1701" w:bottom="1417" w:left="1701"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6462A05" w16cid:durableId="217D6BC5"/>
  <w16cid:commentId w16cid:paraId="4532C739" w16cid:durableId="217D6BE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170A2F" w14:textId="77777777" w:rsidR="00250168" w:rsidRDefault="00250168" w:rsidP="0018594D">
      <w:pPr>
        <w:spacing w:after="0" w:line="240" w:lineRule="auto"/>
      </w:pPr>
      <w:r>
        <w:separator/>
      </w:r>
    </w:p>
  </w:endnote>
  <w:endnote w:type="continuationSeparator" w:id="0">
    <w:p w14:paraId="569226FB" w14:textId="77777777" w:rsidR="00250168" w:rsidRDefault="00250168" w:rsidP="001859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obCL">
    <w:altName w:val="Times New Roman"/>
    <w:panose1 w:val="00000000000000000000"/>
    <w:charset w:val="00"/>
    <w:family w:val="modern"/>
    <w:notTrueType/>
    <w:pitch w:val="variable"/>
    <w:sig w:usb0="00000007" w:usb1="00000000" w:usb2="00000000" w:usb3="00000000" w:csb0="0000011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A995D8" w14:textId="77777777" w:rsidR="00250168" w:rsidRDefault="00250168" w:rsidP="0018594D">
      <w:pPr>
        <w:spacing w:after="0" w:line="240" w:lineRule="auto"/>
      </w:pPr>
      <w:r>
        <w:separator/>
      </w:r>
    </w:p>
  </w:footnote>
  <w:footnote w:type="continuationSeparator" w:id="0">
    <w:p w14:paraId="0B375FD7" w14:textId="77777777" w:rsidR="00250168" w:rsidRDefault="00250168" w:rsidP="0018594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38FB8" w14:textId="77777777" w:rsidR="0018594D" w:rsidRDefault="0018594D">
    <w:pPr>
      <w:pStyle w:val="Encabezado"/>
    </w:pPr>
    <w:r w:rsidRPr="0018594D">
      <w:rPr>
        <w:noProof/>
        <w:lang w:eastAsia="es-CL"/>
      </w:rPr>
      <w:drawing>
        <wp:anchor distT="0" distB="0" distL="114300" distR="114300" simplePos="0" relativeHeight="251658240" behindDoc="0" locked="0" layoutInCell="1" allowOverlap="1" wp14:anchorId="2B130DAB" wp14:editId="15001BBC">
          <wp:simplePos x="0" y="0"/>
          <wp:positionH relativeFrom="column">
            <wp:posOffset>1529715</wp:posOffset>
          </wp:positionH>
          <wp:positionV relativeFrom="paragraph">
            <wp:posOffset>-130175</wp:posOffset>
          </wp:positionV>
          <wp:extent cx="2265680" cy="860425"/>
          <wp:effectExtent l="0" t="0" r="1270" b="0"/>
          <wp:wrapTopAndBottom/>
          <wp:docPr id="2" name="Imagen 2" descr="D:\Users\shevia\Desktop\LOGO 20 AÑOS\Logos Milenio 20 años_Formato PNG\20AñosMilenio_FondoTransparen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shevia\Desktop\LOGO 20 AÑOS\Logos Milenio 20 años_Formato PNG\20AñosMilenio_FondoTransparente.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65680" cy="86042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E57A0B"/>
    <w:multiLevelType w:val="hybridMultilevel"/>
    <w:tmpl w:val="C352A7F0"/>
    <w:lvl w:ilvl="0" w:tplc="5BD0950E">
      <w:numFmt w:val="bullet"/>
      <w:lvlText w:val="-"/>
      <w:lvlJc w:val="left"/>
      <w:pPr>
        <w:ind w:left="720" w:hanging="360"/>
      </w:pPr>
      <w:rPr>
        <w:rFonts w:ascii="Calibri" w:eastAsiaTheme="minorHAnsi"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2C766F85"/>
    <w:multiLevelType w:val="hybridMultilevel"/>
    <w:tmpl w:val="18328848"/>
    <w:styleLink w:val="Vietas"/>
    <w:lvl w:ilvl="0" w:tplc="D5408D9C">
      <w:start w:val="1"/>
      <w:numFmt w:val="bullet"/>
      <w:lvlText w:val="-"/>
      <w:lvlJc w:val="left"/>
      <w:pPr>
        <w:tabs>
          <w:tab w:val="num" w:pos="189"/>
          <w:tab w:val="left" w:pos="567"/>
          <w:tab w:val="left" w:pos="1800"/>
        </w:tabs>
        <w:ind w:left="756" w:hanging="756"/>
      </w:pPr>
      <w:rPr>
        <w:rFonts w:ascii="Trebuchet MS" w:eastAsia="Trebuchet MS" w:hAnsi="Trebuchet MS" w:cs="Trebuchet MS"/>
        <w:b/>
        <w:bCs/>
        <w:i w:val="0"/>
        <w:iCs w:val="0"/>
        <w:caps w:val="0"/>
        <w:smallCaps w:val="0"/>
        <w:strike w:val="0"/>
        <w:dstrike w:val="0"/>
        <w:outline w:val="0"/>
        <w:emboss w:val="0"/>
        <w:imprint w:val="0"/>
        <w:spacing w:val="0"/>
        <w:w w:val="100"/>
        <w:kern w:val="0"/>
        <w:position w:val="0"/>
        <w:highlight w:val="none"/>
        <w:vertAlign w:val="baseline"/>
      </w:rPr>
    </w:lvl>
    <w:lvl w:ilvl="1" w:tplc="2E76CE82">
      <w:start w:val="1"/>
      <w:numFmt w:val="bullet"/>
      <w:lvlText w:val="-"/>
      <w:lvlJc w:val="left"/>
      <w:pPr>
        <w:tabs>
          <w:tab w:val="left" w:pos="189"/>
          <w:tab w:val="left" w:pos="567"/>
          <w:tab w:val="num" w:pos="789"/>
          <w:tab w:val="left" w:pos="1800"/>
        </w:tabs>
        <w:ind w:left="1356" w:hanging="756"/>
      </w:pPr>
      <w:rPr>
        <w:rFonts w:ascii="Trebuchet MS" w:eastAsia="Trebuchet MS" w:hAnsi="Trebuchet MS" w:cs="Trebuchet MS"/>
        <w:b/>
        <w:bCs/>
        <w:i w:val="0"/>
        <w:iCs w:val="0"/>
        <w:caps w:val="0"/>
        <w:smallCaps w:val="0"/>
        <w:strike w:val="0"/>
        <w:dstrike w:val="0"/>
        <w:outline w:val="0"/>
        <w:emboss w:val="0"/>
        <w:imprint w:val="0"/>
        <w:spacing w:val="0"/>
        <w:w w:val="100"/>
        <w:kern w:val="0"/>
        <w:position w:val="0"/>
        <w:highlight w:val="none"/>
        <w:vertAlign w:val="baseline"/>
      </w:rPr>
    </w:lvl>
    <w:lvl w:ilvl="2" w:tplc="E8627D5C">
      <w:start w:val="1"/>
      <w:numFmt w:val="bullet"/>
      <w:lvlText w:val="-"/>
      <w:lvlJc w:val="left"/>
      <w:pPr>
        <w:tabs>
          <w:tab w:val="left" w:pos="189"/>
          <w:tab w:val="left" w:pos="567"/>
          <w:tab w:val="num" w:pos="1389"/>
          <w:tab w:val="left" w:pos="1800"/>
        </w:tabs>
        <w:ind w:left="1956" w:hanging="756"/>
      </w:pPr>
      <w:rPr>
        <w:rFonts w:ascii="Trebuchet MS" w:eastAsia="Trebuchet MS" w:hAnsi="Trebuchet MS" w:cs="Trebuchet MS"/>
        <w:b/>
        <w:bCs/>
        <w:i w:val="0"/>
        <w:iCs w:val="0"/>
        <w:caps w:val="0"/>
        <w:smallCaps w:val="0"/>
        <w:strike w:val="0"/>
        <w:dstrike w:val="0"/>
        <w:outline w:val="0"/>
        <w:emboss w:val="0"/>
        <w:imprint w:val="0"/>
        <w:spacing w:val="0"/>
        <w:w w:val="100"/>
        <w:kern w:val="0"/>
        <w:position w:val="0"/>
        <w:highlight w:val="none"/>
        <w:vertAlign w:val="baseline"/>
      </w:rPr>
    </w:lvl>
    <w:lvl w:ilvl="3" w:tplc="D4626B3C">
      <w:start w:val="1"/>
      <w:numFmt w:val="bullet"/>
      <w:lvlText w:val="-"/>
      <w:lvlJc w:val="left"/>
      <w:pPr>
        <w:tabs>
          <w:tab w:val="left" w:pos="189"/>
          <w:tab w:val="left" w:pos="567"/>
          <w:tab w:val="left" w:pos="1800"/>
          <w:tab w:val="num" w:pos="1989"/>
        </w:tabs>
        <w:ind w:left="2556" w:hanging="756"/>
      </w:pPr>
      <w:rPr>
        <w:rFonts w:ascii="Trebuchet MS" w:eastAsia="Trebuchet MS" w:hAnsi="Trebuchet MS" w:cs="Trebuchet MS"/>
        <w:b/>
        <w:bCs/>
        <w:i w:val="0"/>
        <w:iCs w:val="0"/>
        <w:caps w:val="0"/>
        <w:smallCaps w:val="0"/>
        <w:strike w:val="0"/>
        <w:dstrike w:val="0"/>
        <w:outline w:val="0"/>
        <w:emboss w:val="0"/>
        <w:imprint w:val="0"/>
        <w:spacing w:val="0"/>
        <w:w w:val="100"/>
        <w:kern w:val="0"/>
        <w:position w:val="0"/>
        <w:highlight w:val="none"/>
        <w:vertAlign w:val="baseline"/>
      </w:rPr>
    </w:lvl>
    <w:lvl w:ilvl="4" w:tplc="54B0672C">
      <w:start w:val="1"/>
      <w:numFmt w:val="bullet"/>
      <w:lvlText w:val="-"/>
      <w:lvlJc w:val="left"/>
      <w:pPr>
        <w:tabs>
          <w:tab w:val="left" w:pos="189"/>
          <w:tab w:val="left" w:pos="567"/>
          <w:tab w:val="left" w:pos="1800"/>
          <w:tab w:val="num" w:pos="2589"/>
        </w:tabs>
        <w:ind w:left="3156" w:hanging="756"/>
      </w:pPr>
      <w:rPr>
        <w:rFonts w:ascii="Trebuchet MS" w:eastAsia="Trebuchet MS" w:hAnsi="Trebuchet MS" w:cs="Trebuchet MS"/>
        <w:b/>
        <w:bCs/>
        <w:i w:val="0"/>
        <w:iCs w:val="0"/>
        <w:caps w:val="0"/>
        <w:smallCaps w:val="0"/>
        <w:strike w:val="0"/>
        <w:dstrike w:val="0"/>
        <w:outline w:val="0"/>
        <w:emboss w:val="0"/>
        <w:imprint w:val="0"/>
        <w:spacing w:val="0"/>
        <w:w w:val="100"/>
        <w:kern w:val="0"/>
        <w:position w:val="0"/>
        <w:highlight w:val="none"/>
        <w:vertAlign w:val="baseline"/>
      </w:rPr>
    </w:lvl>
    <w:lvl w:ilvl="5" w:tplc="9A98527A">
      <w:start w:val="1"/>
      <w:numFmt w:val="bullet"/>
      <w:lvlText w:val="-"/>
      <w:lvlJc w:val="left"/>
      <w:pPr>
        <w:tabs>
          <w:tab w:val="left" w:pos="189"/>
          <w:tab w:val="left" w:pos="567"/>
          <w:tab w:val="left" w:pos="1800"/>
          <w:tab w:val="num" w:pos="3189"/>
        </w:tabs>
        <w:ind w:left="3756" w:hanging="756"/>
      </w:pPr>
      <w:rPr>
        <w:rFonts w:ascii="Trebuchet MS" w:eastAsia="Trebuchet MS" w:hAnsi="Trebuchet MS" w:cs="Trebuchet MS"/>
        <w:b/>
        <w:bCs/>
        <w:i w:val="0"/>
        <w:iCs w:val="0"/>
        <w:caps w:val="0"/>
        <w:smallCaps w:val="0"/>
        <w:strike w:val="0"/>
        <w:dstrike w:val="0"/>
        <w:outline w:val="0"/>
        <w:emboss w:val="0"/>
        <w:imprint w:val="0"/>
        <w:spacing w:val="0"/>
        <w:w w:val="100"/>
        <w:kern w:val="0"/>
        <w:position w:val="0"/>
        <w:highlight w:val="none"/>
        <w:vertAlign w:val="baseline"/>
      </w:rPr>
    </w:lvl>
    <w:lvl w:ilvl="6" w:tplc="93F6C3CE">
      <w:start w:val="1"/>
      <w:numFmt w:val="bullet"/>
      <w:lvlText w:val="-"/>
      <w:lvlJc w:val="left"/>
      <w:pPr>
        <w:tabs>
          <w:tab w:val="left" w:pos="189"/>
          <w:tab w:val="left" w:pos="567"/>
          <w:tab w:val="left" w:pos="1800"/>
          <w:tab w:val="num" w:pos="3789"/>
        </w:tabs>
        <w:ind w:left="4356" w:hanging="756"/>
      </w:pPr>
      <w:rPr>
        <w:rFonts w:ascii="Trebuchet MS" w:eastAsia="Trebuchet MS" w:hAnsi="Trebuchet MS" w:cs="Trebuchet MS"/>
        <w:b/>
        <w:bCs/>
        <w:i w:val="0"/>
        <w:iCs w:val="0"/>
        <w:caps w:val="0"/>
        <w:smallCaps w:val="0"/>
        <w:strike w:val="0"/>
        <w:dstrike w:val="0"/>
        <w:outline w:val="0"/>
        <w:emboss w:val="0"/>
        <w:imprint w:val="0"/>
        <w:spacing w:val="0"/>
        <w:w w:val="100"/>
        <w:kern w:val="0"/>
        <w:position w:val="0"/>
        <w:highlight w:val="none"/>
        <w:vertAlign w:val="baseline"/>
      </w:rPr>
    </w:lvl>
    <w:lvl w:ilvl="7" w:tplc="2A6A7A64">
      <w:start w:val="1"/>
      <w:numFmt w:val="bullet"/>
      <w:lvlText w:val="-"/>
      <w:lvlJc w:val="left"/>
      <w:pPr>
        <w:tabs>
          <w:tab w:val="left" w:pos="189"/>
          <w:tab w:val="left" w:pos="567"/>
          <w:tab w:val="left" w:pos="1800"/>
          <w:tab w:val="num" w:pos="4389"/>
        </w:tabs>
        <w:ind w:left="4956" w:hanging="756"/>
      </w:pPr>
      <w:rPr>
        <w:rFonts w:ascii="Trebuchet MS" w:eastAsia="Trebuchet MS" w:hAnsi="Trebuchet MS" w:cs="Trebuchet MS"/>
        <w:b/>
        <w:bCs/>
        <w:i w:val="0"/>
        <w:iCs w:val="0"/>
        <w:caps w:val="0"/>
        <w:smallCaps w:val="0"/>
        <w:strike w:val="0"/>
        <w:dstrike w:val="0"/>
        <w:outline w:val="0"/>
        <w:emboss w:val="0"/>
        <w:imprint w:val="0"/>
        <w:spacing w:val="0"/>
        <w:w w:val="100"/>
        <w:kern w:val="0"/>
        <w:position w:val="0"/>
        <w:highlight w:val="none"/>
        <w:vertAlign w:val="baseline"/>
      </w:rPr>
    </w:lvl>
    <w:lvl w:ilvl="8" w:tplc="ED0224DE">
      <w:start w:val="1"/>
      <w:numFmt w:val="bullet"/>
      <w:lvlText w:val="-"/>
      <w:lvlJc w:val="left"/>
      <w:pPr>
        <w:tabs>
          <w:tab w:val="left" w:pos="189"/>
          <w:tab w:val="left" w:pos="567"/>
          <w:tab w:val="left" w:pos="1800"/>
          <w:tab w:val="num" w:pos="4989"/>
        </w:tabs>
        <w:ind w:left="5556" w:hanging="756"/>
      </w:pPr>
      <w:rPr>
        <w:rFonts w:ascii="Trebuchet MS" w:eastAsia="Trebuchet MS" w:hAnsi="Trebuchet MS" w:cs="Trebuchet MS"/>
        <w:b/>
        <w:bCs/>
        <w:i w:val="0"/>
        <w:iCs w:val="0"/>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66C7379E"/>
    <w:multiLevelType w:val="hybridMultilevel"/>
    <w:tmpl w:val="AB742EB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758258EF"/>
    <w:multiLevelType w:val="hybridMultilevel"/>
    <w:tmpl w:val="2CA620E4"/>
    <w:lvl w:ilvl="0" w:tplc="34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7D5507B3"/>
    <w:multiLevelType w:val="hybridMultilevel"/>
    <w:tmpl w:val="18328848"/>
    <w:numStyleLink w:val="Vietas"/>
  </w:abstractNum>
  <w:num w:numId="1">
    <w:abstractNumId w:val="2"/>
  </w:num>
  <w:num w:numId="2">
    <w:abstractNumId w:val="0"/>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7300"/>
    <w:rsid w:val="00000EFA"/>
    <w:rsid w:val="00005070"/>
    <w:rsid w:val="000109D2"/>
    <w:rsid w:val="00012A3E"/>
    <w:rsid w:val="000142CB"/>
    <w:rsid w:val="00032922"/>
    <w:rsid w:val="00054123"/>
    <w:rsid w:val="000563B5"/>
    <w:rsid w:val="0007462C"/>
    <w:rsid w:val="0009250B"/>
    <w:rsid w:val="00092D31"/>
    <w:rsid w:val="00097C41"/>
    <w:rsid w:val="000A5840"/>
    <w:rsid w:val="000F7EE9"/>
    <w:rsid w:val="00114CE8"/>
    <w:rsid w:val="0012435E"/>
    <w:rsid w:val="001258CE"/>
    <w:rsid w:val="001310E7"/>
    <w:rsid w:val="00147C10"/>
    <w:rsid w:val="00155BE8"/>
    <w:rsid w:val="00166B60"/>
    <w:rsid w:val="0018594D"/>
    <w:rsid w:val="001928C3"/>
    <w:rsid w:val="0019365E"/>
    <w:rsid w:val="00195178"/>
    <w:rsid w:val="001D1342"/>
    <w:rsid w:val="001D7CEB"/>
    <w:rsid w:val="001F4C48"/>
    <w:rsid w:val="00217151"/>
    <w:rsid w:val="00250168"/>
    <w:rsid w:val="0027008D"/>
    <w:rsid w:val="002804DE"/>
    <w:rsid w:val="002A6EEB"/>
    <w:rsid w:val="002A73C1"/>
    <w:rsid w:val="002C7125"/>
    <w:rsid w:val="002E6AAA"/>
    <w:rsid w:val="003039AA"/>
    <w:rsid w:val="0031396D"/>
    <w:rsid w:val="003326DC"/>
    <w:rsid w:val="0035042E"/>
    <w:rsid w:val="00353AE8"/>
    <w:rsid w:val="0038102E"/>
    <w:rsid w:val="003C2AF5"/>
    <w:rsid w:val="003E68C2"/>
    <w:rsid w:val="00422B89"/>
    <w:rsid w:val="004454E0"/>
    <w:rsid w:val="00491711"/>
    <w:rsid w:val="004A4B05"/>
    <w:rsid w:val="004B190A"/>
    <w:rsid w:val="004D5039"/>
    <w:rsid w:val="005028F6"/>
    <w:rsid w:val="00520736"/>
    <w:rsid w:val="0060129E"/>
    <w:rsid w:val="006021A5"/>
    <w:rsid w:val="0061243A"/>
    <w:rsid w:val="00613B34"/>
    <w:rsid w:val="0061745E"/>
    <w:rsid w:val="0064634A"/>
    <w:rsid w:val="00647FAF"/>
    <w:rsid w:val="0065099A"/>
    <w:rsid w:val="006544E5"/>
    <w:rsid w:val="006650A1"/>
    <w:rsid w:val="006714C5"/>
    <w:rsid w:val="006A3D23"/>
    <w:rsid w:val="006B2C1E"/>
    <w:rsid w:val="006B7835"/>
    <w:rsid w:val="006C7306"/>
    <w:rsid w:val="006D597B"/>
    <w:rsid w:val="006E7D13"/>
    <w:rsid w:val="00714E56"/>
    <w:rsid w:val="00757B2E"/>
    <w:rsid w:val="007622EF"/>
    <w:rsid w:val="007720D1"/>
    <w:rsid w:val="00782FCB"/>
    <w:rsid w:val="0079086F"/>
    <w:rsid w:val="007919A3"/>
    <w:rsid w:val="007963A5"/>
    <w:rsid w:val="007B38B6"/>
    <w:rsid w:val="007E086C"/>
    <w:rsid w:val="007E342B"/>
    <w:rsid w:val="007F21EE"/>
    <w:rsid w:val="008124F4"/>
    <w:rsid w:val="008339DB"/>
    <w:rsid w:val="00835D3F"/>
    <w:rsid w:val="00861F33"/>
    <w:rsid w:val="008B7A63"/>
    <w:rsid w:val="008C1C82"/>
    <w:rsid w:val="008E414D"/>
    <w:rsid w:val="008F2BD6"/>
    <w:rsid w:val="00927A66"/>
    <w:rsid w:val="00957648"/>
    <w:rsid w:val="0095788F"/>
    <w:rsid w:val="009712E9"/>
    <w:rsid w:val="009715D1"/>
    <w:rsid w:val="00993813"/>
    <w:rsid w:val="009F5C7D"/>
    <w:rsid w:val="00A54556"/>
    <w:rsid w:val="00A747AD"/>
    <w:rsid w:val="00A872E6"/>
    <w:rsid w:val="00A95629"/>
    <w:rsid w:val="00AB03F8"/>
    <w:rsid w:val="00AD707C"/>
    <w:rsid w:val="00AF4429"/>
    <w:rsid w:val="00B26CC7"/>
    <w:rsid w:val="00B27792"/>
    <w:rsid w:val="00B401E3"/>
    <w:rsid w:val="00B43F2B"/>
    <w:rsid w:val="00B75797"/>
    <w:rsid w:val="00B758A5"/>
    <w:rsid w:val="00B91117"/>
    <w:rsid w:val="00B97937"/>
    <w:rsid w:val="00BA672A"/>
    <w:rsid w:val="00BB1A7D"/>
    <w:rsid w:val="00BD06B3"/>
    <w:rsid w:val="00C06841"/>
    <w:rsid w:val="00C540C5"/>
    <w:rsid w:val="00C540EF"/>
    <w:rsid w:val="00C57CCF"/>
    <w:rsid w:val="00C94641"/>
    <w:rsid w:val="00CA7B2F"/>
    <w:rsid w:val="00CB2A93"/>
    <w:rsid w:val="00CB3B7B"/>
    <w:rsid w:val="00CC4F79"/>
    <w:rsid w:val="00CD0A4D"/>
    <w:rsid w:val="00CD3C9B"/>
    <w:rsid w:val="00CF7300"/>
    <w:rsid w:val="00D16C83"/>
    <w:rsid w:val="00D2720C"/>
    <w:rsid w:val="00D406AA"/>
    <w:rsid w:val="00D94AE8"/>
    <w:rsid w:val="00DA1B46"/>
    <w:rsid w:val="00DB0558"/>
    <w:rsid w:val="00DB33BA"/>
    <w:rsid w:val="00DB3578"/>
    <w:rsid w:val="00DC2B06"/>
    <w:rsid w:val="00DF7FD1"/>
    <w:rsid w:val="00E0313F"/>
    <w:rsid w:val="00E4309B"/>
    <w:rsid w:val="00E56854"/>
    <w:rsid w:val="00E65C5F"/>
    <w:rsid w:val="00EA1C63"/>
    <w:rsid w:val="00EB1E80"/>
    <w:rsid w:val="00F01F2B"/>
    <w:rsid w:val="00F14688"/>
    <w:rsid w:val="00F46A10"/>
    <w:rsid w:val="00FC050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E1F3EB"/>
  <w15:chartTrackingRefBased/>
  <w15:docId w15:val="{2895BA7C-76F3-4AB8-96BE-92CDE30443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2">
    <w:name w:val="heading 2"/>
    <w:basedOn w:val="Normal"/>
    <w:link w:val="Ttulo2Car"/>
    <w:uiPriority w:val="9"/>
    <w:qFormat/>
    <w:rsid w:val="003039AA"/>
    <w:pPr>
      <w:spacing w:before="100" w:beforeAutospacing="1" w:after="100" w:afterAutospacing="1" w:line="240" w:lineRule="auto"/>
      <w:outlineLvl w:val="1"/>
    </w:pPr>
    <w:rPr>
      <w:rFonts w:ascii="Times New Roman" w:eastAsia="Times New Roman" w:hAnsi="Times New Roman" w:cs="Times New Roman"/>
      <w:b/>
      <w:bCs/>
      <w:sz w:val="36"/>
      <w:szCs w:val="3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A1B46"/>
    <w:pPr>
      <w:ind w:left="720"/>
      <w:contextualSpacing/>
    </w:pPr>
  </w:style>
  <w:style w:type="character" w:styleId="Refdecomentario">
    <w:name w:val="annotation reference"/>
    <w:basedOn w:val="Fuentedeprrafopredeter"/>
    <w:uiPriority w:val="99"/>
    <w:semiHidden/>
    <w:unhideWhenUsed/>
    <w:rsid w:val="00D16C83"/>
    <w:rPr>
      <w:sz w:val="16"/>
      <w:szCs w:val="16"/>
    </w:rPr>
  </w:style>
  <w:style w:type="paragraph" w:styleId="Textocomentario">
    <w:name w:val="annotation text"/>
    <w:basedOn w:val="Normal"/>
    <w:link w:val="TextocomentarioCar"/>
    <w:uiPriority w:val="99"/>
    <w:semiHidden/>
    <w:unhideWhenUsed/>
    <w:rsid w:val="00D16C8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16C83"/>
    <w:rPr>
      <w:sz w:val="20"/>
      <w:szCs w:val="20"/>
    </w:rPr>
  </w:style>
  <w:style w:type="paragraph" w:styleId="Asuntodelcomentario">
    <w:name w:val="annotation subject"/>
    <w:basedOn w:val="Textocomentario"/>
    <w:next w:val="Textocomentario"/>
    <w:link w:val="AsuntodelcomentarioCar"/>
    <w:uiPriority w:val="99"/>
    <w:semiHidden/>
    <w:unhideWhenUsed/>
    <w:rsid w:val="00D16C83"/>
    <w:rPr>
      <w:b/>
      <w:bCs/>
    </w:rPr>
  </w:style>
  <w:style w:type="character" w:customStyle="1" w:styleId="AsuntodelcomentarioCar">
    <w:name w:val="Asunto del comentario Car"/>
    <w:basedOn w:val="TextocomentarioCar"/>
    <w:link w:val="Asuntodelcomentario"/>
    <w:uiPriority w:val="99"/>
    <w:semiHidden/>
    <w:rsid w:val="00D16C83"/>
    <w:rPr>
      <w:b/>
      <w:bCs/>
      <w:sz w:val="20"/>
      <w:szCs w:val="20"/>
    </w:rPr>
  </w:style>
  <w:style w:type="paragraph" w:styleId="Textodeglobo">
    <w:name w:val="Balloon Text"/>
    <w:basedOn w:val="Normal"/>
    <w:link w:val="TextodegloboCar"/>
    <w:uiPriority w:val="99"/>
    <w:semiHidden/>
    <w:unhideWhenUsed/>
    <w:rsid w:val="00D16C8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16C83"/>
    <w:rPr>
      <w:rFonts w:ascii="Segoe UI" w:hAnsi="Segoe UI" w:cs="Segoe UI"/>
      <w:sz w:val="18"/>
      <w:szCs w:val="18"/>
    </w:rPr>
  </w:style>
  <w:style w:type="paragraph" w:customStyle="1" w:styleId="CuerpoA">
    <w:name w:val="Cuerpo A"/>
    <w:rsid w:val="00DC2B06"/>
    <w:pPr>
      <w:pBdr>
        <w:top w:val="nil"/>
        <w:left w:val="nil"/>
        <w:bottom w:val="nil"/>
        <w:right w:val="nil"/>
        <w:between w:val="nil"/>
        <w:bar w:val="nil"/>
      </w:pBdr>
      <w:spacing w:after="0" w:line="240" w:lineRule="auto"/>
    </w:pPr>
    <w:rPr>
      <w:rFonts w:ascii="Arial" w:eastAsia="Arial Unicode MS" w:hAnsi="Arial" w:cs="Arial Unicode MS"/>
      <w:color w:val="000000"/>
      <w:sz w:val="24"/>
      <w:szCs w:val="24"/>
      <w:u w:color="000000"/>
      <w:bdr w:val="nil"/>
      <w:lang w:val="de-DE" w:eastAsia="es-MX"/>
    </w:rPr>
  </w:style>
  <w:style w:type="character" w:customStyle="1" w:styleId="Ninguno">
    <w:name w:val="Ninguno"/>
    <w:rsid w:val="00DC2B06"/>
    <w:rPr>
      <w:lang w:val="de-DE"/>
    </w:rPr>
  </w:style>
  <w:style w:type="numbering" w:customStyle="1" w:styleId="Vietas">
    <w:name w:val="Viñetas"/>
    <w:rsid w:val="00DC2B06"/>
    <w:pPr>
      <w:numPr>
        <w:numId w:val="3"/>
      </w:numPr>
    </w:pPr>
  </w:style>
  <w:style w:type="paragraph" w:styleId="Sinespaciado">
    <w:name w:val="No Spacing"/>
    <w:uiPriority w:val="1"/>
    <w:qFormat/>
    <w:rsid w:val="00B43F2B"/>
    <w:pPr>
      <w:spacing w:after="0" w:line="240" w:lineRule="auto"/>
    </w:pPr>
  </w:style>
  <w:style w:type="character" w:styleId="nfasissutil">
    <w:name w:val="Subtle Emphasis"/>
    <w:basedOn w:val="Fuentedeprrafopredeter"/>
    <w:uiPriority w:val="19"/>
    <w:qFormat/>
    <w:rsid w:val="00B43F2B"/>
    <w:rPr>
      <w:i/>
      <w:iCs/>
      <w:color w:val="404040" w:themeColor="text1" w:themeTint="BF"/>
    </w:rPr>
  </w:style>
  <w:style w:type="character" w:styleId="Hipervnculo">
    <w:name w:val="Hyperlink"/>
    <w:basedOn w:val="Fuentedeprrafopredeter"/>
    <w:uiPriority w:val="99"/>
    <w:unhideWhenUsed/>
    <w:rsid w:val="0038102E"/>
    <w:rPr>
      <w:color w:val="0563C1" w:themeColor="hyperlink"/>
      <w:u w:val="single"/>
    </w:rPr>
  </w:style>
  <w:style w:type="character" w:customStyle="1" w:styleId="Ttulo2Car">
    <w:name w:val="Título 2 Car"/>
    <w:basedOn w:val="Fuentedeprrafopredeter"/>
    <w:link w:val="Ttulo2"/>
    <w:uiPriority w:val="9"/>
    <w:rsid w:val="003039AA"/>
    <w:rPr>
      <w:rFonts w:ascii="Times New Roman" w:eastAsia="Times New Roman" w:hAnsi="Times New Roman" w:cs="Times New Roman"/>
      <w:b/>
      <w:bCs/>
      <w:sz w:val="36"/>
      <w:szCs w:val="36"/>
      <w:lang w:val="es-ES" w:eastAsia="es-ES"/>
    </w:rPr>
  </w:style>
  <w:style w:type="paragraph" w:customStyle="1" w:styleId="m3283832955544020867m7616496903948232395gmail-msolistparagraph">
    <w:name w:val="m_3283832955544020867m_7616496903948232395gmail-msolistparagraph"/>
    <w:basedOn w:val="Normal"/>
    <w:rsid w:val="00613B34"/>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m3283832955544020867m7616496903948232395gmail-cuerpoa">
    <w:name w:val="m_3283832955544020867m_7616496903948232395gmail-cuerpoa"/>
    <w:basedOn w:val="Normal"/>
    <w:rsid w:val="00613B34"/>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m3283832955544020867m7616496903948232395gmail-ninguno">
    <w:name w:val="m_3283832955544020867m_7616496903948232395gmail-ninguno"/>
    <w:basedOn w:val="Fuentedeprrafopredeter"/>
    <w:rsid w:val="00613B34"/>
  </w:style>
  <w:style w:type="paragraph" w:styleId="Encabezado">
    <w:name w:val="header"/>
    <w:basedOn w:val="Normal"/>
    <w:link w:val="EncabezadoCar"/>
    <w:uiPriority w:val="99"/>
    <w:unhideWhenUsed/>
    <w:rsid w:val="0018594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8594D"/>
  </w:style>
  <w:style w:type="paragraph" w:styleId="Piedepgina">
    <w:name w:val="footer"/>
    <w:basedOn w:val="Normal"/>
    <w:link w:val="PiedepginaCar"/>
    <w:uiPriority w:val="99"/>
    <w:unhideWhenUsed/>
    <w:rsid w:val="0018594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8594D"/>
  </w:style>
  <w:style w:type="paragraph" w:styleId="NormalWeb">
    <w:name w:val="Normal (Web)"/>
    <w:basedOn w:val="Normal"/>
    <w:uiPriority w:val="99"/>
    <w:semiHidden/>
    <w:unhideWhenUsed/>
    <w:rsid w:val="0061243A"/>
    <w:pPr>
      <w:spacing w:before="100" w:beforeAutospacing="1" w:after="100" w:afterAutospacing="1" w:line="240" w:lineRule="auto"/>
    </w:pPr>
    <w:rPr>
      <w:rFonts w:ascii="Times New Roman" w:eastAsia="Times New Roman" w:hAnsi="Times New Roman" w:cs="Times New Roman"/>
      <w:sz w:val="24"/>
      <w:szCs w:val="24"/>
      <w:lang w:eastAsia="es-CL"/>
    </w:rPr>
  </w:style>
  <w:style w:type="character" w:styleId="Textoennegrita">
    <w:name w:val="Strong"/>
    <w:basedOn w:val="Fuentedeprrafopredeter"/>
    <w:uiPriority w:val="22"/>
    <w:qFormat/>
    <w:rsid w:val="0061243A"/>
    <w:rPr>
      <w:b/>
      <w:bCs/>
    </w:rPr>
  </w:style>
  <w:style w:type="paragraph" w:styleId="Revisin">
    <w:name w:val="Revision"/>
    <w:hidden/>
    <w:uiPriority w:val="99"/>
    <w:semiHidden/>
    <w:rsid w:val="008F2BD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957914">
      <w:bodyDiv w:val="1"/>
      <w:marLeft w:val="0"/>
      <w:marRight w:val="0"/>
      <w:marTop w:val="0"/>
      <w:marBottom w:val="0"/>
      <w:divBdr>
        <w:top w:val="none" w:sz="0" w:space="0" w:color="auto"/>
        <w:left w:val="none" w:sz="0" w:space="0" w:color="auto"/>
        <w:bottom w:val="none" w:sz="0" w:space="0" w:color="auto"/>
        <w:right w:val="none" w:sz="0" w:space="0" w:color="auto"/>
      </w:divBdr>
      <w:divsChild>
        <w:div w:id="841047326">
          <w:marLeft w:val="0"/>
          <w:marRight w:val="0"/>
          <w:marTop w:val="0"/>
          <w:marBottom w:val="0"/>
          <w:divBdr>
            <w:top w:val="none" w:sz="0" w:space="0" w:color="auto"/>
            <w:left w:val="none" w:sz="0" w:space="0" w:color="auto"/>
            <w:bottom w:val="none" w:sz="0" w:space="0" w:color="auto"/>
            <w:right w:val="none" w:sz="0" w:space="0" w:color="auto"/>
          </w:divBdr>
        </w:div>
        <w:div w:id="1609462662">
          <w:marLeft w:val="0"/>
          <w:marRight w:val="0"/>
          <w:marTop w:val="0"/>
          <w:marBottom w:val="0"/>
          <w:divBdr>
            <w:top w:val="none" w:sz="0" w:space="0" w:color="auto"/>
            <w:left w:val="none" w:sz="0" w:space="0" w:color="auto"/>
            <w:bottom w:val="none" w:sz="0" w:space="0" w:color="auto"/>
            <w:right w:val="none" w:sz="0" w:space="0" w:color="auto"/>
          </w:divBdr>
        </w:div>
      </w:divsChild>
    </w:div>
    <w:div w:id="850609926">
      <w:bodyDiv w:val="1"/>
      <w:marLeft w:val="0"/>
      <w:marRight w:val="0"/>
      <w:marTop w:val="0"/>
      <w:marBottom w:val="0"/>
      <w:divBdr>
        <w:top w:val="none" w:sz="0" w:space="0" w:color="auto"/>
        <w:left w:val="none" w:sz="0" w:space="0" w:color="auto"/>
        <w:bottom w:val="none" w:sz="0" w:space="0" w:color="auto"/>
        <w:right w:val="none" w:sz="0" w:space="0" w:color="auto"/>
      </w:divBdr>
    </w:div>
    <w:div w:id="932973492">
      <w:bodyDiv w:val="1"/>
      <w:marLeft w:val="0"/>
      <w:marRight w:val="0"/>
      <w:marTop w:val="0"/>
      <w:marBottom w:val="0"/>
      <w:divBdr>
        <w:top w:val="none" w:sz="0" w:space="0" w:color="auto"/>
        <w:left w:val="none" w:sz="0" w:space="0" w:color="auto"/>
        <w:bottom w:val="none" w:sz="0" w:space="0" w:color="auto"/>
        <w:right w:val="none" w:sz="0" w:space="0" w:color="auto"/>
      </w:divBdr>
    </w:div>
    <w:div w:id="1211499221">
      <w:bodyDiv w:val="1"/>
      <w:marLeft w:val="0"/>
      <w:marRight w:val="0"/>
      <w:marTop w:val="0"/>
      <w:marBottom w:val="0"/>
      <w:divBdr>
        <w:top w:val="none" w:sz="0" w:space="0" w:color="auto"/>
        <w:left w:val="none" w:sz="0" w:space="0" w:color="auto"/>
        <w:bottom w:val="none" w:sz="0" w:space="0" w:color="auto"/>
        <w:right w:val="none" w:sz="0" w:space="0" w:color="auto"/>
      </w:divBdr>
    </w:div>
    <w:div w:id="1688407496">
      <w:bodyDiv w:val="1"/>
      <w:marLeft w:val="0"/>
      <w:marRight w:val="0"/>
      <w:marTop w:val="0"/>
      <w:marBottom w:val="0"/>
      <w:divBdr>
        <w:top w:val="none" w:sz="0" w:space="0" w:color="auto"/>
        <w:left w:val="none" w:sz="0" w:space="0" w:color="auto"/>
        <w:bottom w:val="none" w:sz="0" w:space="0" w:color="auto"/>
        <w:right w:val="none" w:sz="0" w:space="0" w:color="auto"/>
      </w:divBdr>
    </w:div>
    <w:div w:id="2087340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oncursos.iniciativamilenio.cl/" TargetMode="External"/><Relationship Id="rId3" Type="http://schemas.openxmlformats.org/officeDocument/2006/relationships/styles" Target="styles.xml"/><Relationship Id="rId7" Type="http://schemas.openxmlformats.org/officeDocument/2006/relationships/endnotes" Target="endnotes.xml"/><Relationship Id="rId12"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65D30-E291-41BC-8799-436D2C82F3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364</Words>
  <Characters>2007</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Sebastian Toledo Duran</dc:creator>
  <cp:keywords/>
  <dc:description/>
  <cp:lastModifiedBy>Maximiliano Jorge Riquelme Lastra</cp:lastModifiedBy>
  <cp:revision>3</cp:revision>
  <cp:lastPrinted>2017-11-07T21:33:00Z</cp:lastPrinted>
  <dcterms:created xsi:type="dcterms:W3CDTF">2019-11-21T20:55:00Z</dcterms:created>
  <dcterms:modified xsi:type="dcterms:W3CDTF">2019-11-21T21:00:00Z</dcterms:modified>
</cp:coreProperties>
</file>